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80C3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b/>
          <w:bCs/>
          <w:color w:val="333333"/>
          <w:sz w:val="30"/>
          <w:szCs w:val="30"/>
        </w:rPr>
        <w:t>Public Comment Period on Intent to Make a Determination</w:t>
      </w:r>
    </w:p>
    <w:p w14:paraId="76DCAF99" w14:textId="32C19856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2021-0</w:t>
      </w:r>
      <w:r w:rsidR="005842E9">
        <w:rPr>
          <w:rFonts w:ascii="Arial" w:eastAsia="Times New Roman" w:hAnsi="Arial" w:cs="Arial"/>
          <w:color w:val="333333"/>
          <w:sz w:val="30"/>
          <w:szCs w:val="30"/>
        </w:rPr>
        <w:t>8</w:t>
      </w:r>
      <w:r w:rsidRPr="009F0190">
        <w:rPr>
          <w:rFonts w:ascii="Arial" w:eastAsia="Times New Roman" w:hAnsi="Arial" w:cs="Arial"/>
          <w:color w:val="333333"/>
          <w:sz w:val="30"/>
          <w:szCs w:val="30"/>
        </w:rPr>
        <w:t>-</w:t>
      </w:r>
      <w:r w:rsidR="005842E9">
        <w:rPr>
          <w:rFonts w:ascii="Arial" w:eastAsia="Times New Roman" w:hAnsi="Arial" w:cs="Arial"/>
          <w:color w:val="333333"/>
          <w:sz w:val="30"/>
          <w:szCs w:val="30"/>
        </w:rPr>
        <w:t>1</w:t>
      </w:r>
      <w:r w:rsidR="002832D3">
        <w:rPr>
          <w:rFonts w:ascii="Arial" w:eastAsia="Times New Roman" w:hAnsi="Arial" w:cs="Arial"/>
          <w:color w:val="333333"/>
          <w:sz w:val="30"/>
          <w:szCs w:val="30"/>
        </w:rPr>
        <w:t>7</w:t>
      </w:r>
      <w:r w:rsidRPr="009F0190">
        <w:rPr>
          <w:rFonts w:ascii="Arial" w:eastAsia="Times New Roman" w:hAnsi="Arial" w:cs="Arial"/>
          <w:color w:val="333333"/>
          <w:sz w:val="30"/>
          <w:szCs w:val="30"/>
        </w:rPr>
        <w:t> - Infrastructure Canada must determine whether the proposed </w:t>
      </w:r>
      <w:r>
        <w:rPr>
          <w:rFonts w:ascii="Arial" w:eastAsia="Times New Roman" w:hAnsi="Arial" w:cs="Arial"/>
          <w:color w:val="333333"/>
          <w:sz w:val="30"/>
          <w:szCs w:val="30"/>
        </w:rPr>
        <w:t>Replace Existing Distribution Water Main at West End WTP and upgrade 10 Residential Septic Fields project located on Obashkaandagaang Firs Nation</w:t>
      </w:r>
      <w:r w:rsidRPr="009F0190">
        <w:rPr>
          <w:rFonts w:ascii="Arial" w:eastAsia="Times New Roman" w:hAnsi="Arial" w:cs="Arial"/>
          <w:color w:val="333333"/>
          <w:sz w:val="30"/>
          <w:szCs w:val="30"/>
        </w:rPr>
        <w:t>, is likely to cause significant adverse environmental effects.</w:t>
      </w:r>
    </w:p>
    <w:p w14:paraId="0B497CF7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To help inform this determination, Infrastructure Canada is inviting comments from the public respecting that determination. All comments received will be considered public [and may be posted online]. For more information, individuals should consult the Privacy Notice on the Registry website (</w:t>
      </w:r>
      <w:hyperlink r:id="rId7" w:history="1">
        <w:r w:rsidRPr="009F0190">
          <w:rPr>
            <w:rFonts w:ascii="Arial" w:eastAsia="Times New Roman" w:hAnsi="Arial" w:cs="Arial"/>
            <w:color w:val="284162"/>
            <w:sz w:val="30"/>
            <w:szCs w:val="30"/>
            <w:u w:val="single"/>
          </w:rPr>
          <w:t>https://iaac-aeic.gc.ca/050/evaluations/Protection?culture=en-CA</w:t>
        </w:r>
      </w:hyperlink>
      <w:r w:rsidRPr="009F0190">
        <w:rPr>
          <w:rFonts w:ascii="Arial" w:eastAsia="Times New Roman" w:hAnsi="Arial" w:cs="Arial"/>
          <w:color w:val="333333"/>
          <w:sz w:val="30"/>
          <w:szCs w:val="30"/>
        </w:rPr>
        <w:t>).</w:t>
      </w:r>
    </w:p>
    <w:p w14:paraId="1D4BD74A" w14:textId="1FC1DB29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 xml:space="preserve">Written comments must be submitted by September </w:t>
      </w:r>
      <w:r w:rsidR="003D467D">
        <w:rPr>
          <w:rFonts w:ascii="Arial" w:eastAsia="Times New Roman" w:hAnsi="Arial" w:cs="Arial"/>
          <w:color w:val="333333"/>
          <w:sz w:val="30"/>
          <w:szCs w:val="30"/>
        </w:rPr>
        <w:t>1</w:t>
      </w:r>
      <w:r w:rsidR="002832D3">
        <w:rPr>
          <w:rFonts w:ascii="Arial" w:eastAsia="Times New Roman" w:hAnsi="Arial" w:cs="Arial"/>
          <w:color w:val="333333"/>
          <w:sz w:val="30"/>
          <w:szCs w:val="30"/>
        </w:rPr>
        <w:t>6</w:t>
      </w:r>
      <w:r w:rsidR="003D467D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Pr="009F0190">
        <w:rPr>
          <w:rFonts w:ascii="Arial" w:eastAsia="Times New Roman" w:hAnsi="Arial" w:cs="Arial"/>
          <w:color w:val="333333"/>
          <w:sz w:val="30"/>
          <w:szCs w:val="30"/>
        </w:rPr>
        <w:t>th, 2021 to:</w:t>
      </w:r>
    </w:p>
    <w:p w14:paraId="018EF745" w14:textId="35899FBF" w:rsid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Luke Maybury</w:t>
      </w:r>
    </w:p>
    <w:p w14:paraId="7BC229CA" w14:textId="4262D2C8" w:rsidR="003D467D" w:rsidRPr="009F0190" w:rsidRDefault="003D467D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>
        <w:rPr>
          <w:rFonts w:ascii="Arial" w:eastAsia="Times New Roman" w:hAnsi="Arial" w:cs="Arial"/>
          <w:color w:val="333333"/>
          <w:sz w:val="30"/>
          <w:szCs w:val="30"/>
        </w:rPr>
        <w:t>Environmental Review Officer</w:t>
      </w:r>
    </w:p>
    <w:p w14:paraId="64B0CD2F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343-548-7608</w:t>
      </w:r>
    </w:p>
    <w:p w14:paraId="6DBC69FA" w14:textId="77777777" w:rsidR="009F0190" w:rsidRPr="009F0190" w:rsidRDefault="00E75E47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hyperlink r:id="rId8" w:history="1">
        <w:r w:rsidR="009F0190" w:rsidRPr="009F0190">
          <w:rPr>
            <w:rFonts w:ascii="Arial" w:eastAsia="Times New Roman" w:hAnsi="Arial" w:cs="Arial"/>
            <w:color w:val="284162"/>
            <w:sz w:val="30"/>
            <w:szCs w:val="30"/>
            <w:u w:val="single"/>
          </w:rPr>
          <w:t>Luke.maybury@infc.gc.ca</w:t>
        </w:r>
      </w:hyperlink>
    </w:p>
    <w:p w14:paraId="703A8252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 </w:t>
      </w:r>
    </w:p>
    <w:p w14:paraId="0FA67037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b/>
          <w:bCs/>
          <w:color w:val="333333"/>
          <w:sz w:val="30"/>
          <w:szCs w:val="30"/>
        </w:rPr>
        <w:t>Project Summary</w:t>
      </w:r>
    </w:p>
    <w:p w14:paraId="7F2B9B29" w14:textId="13D77A3A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 xml:space="preserve">The project's purpose is to </w:t>
      </w:r>
      <w:r w:rsidR="005842E9">
        <w:rPr>
          <w:rFonts w:ascii="Arial" w:eastAsia="Times New Roman" w:hAnsi="Arial" w:cs="Arial"/>
          <w:color w:val="333333"/>
          <w:sz w:val="30"/>
          <w:szCs w:val="30"/>
        </w:rPr>
        <w:t xml:space="preserve">make improvements to existing potable water and waste water infrastructure on Obashkaandagaang First Nation. </w:t>
      </w:r>
      <w:r w:rsidR="00760221">
        <w:rPr>
          <w:rFonts w:ascii="Arial" w:eastAsia="Times New Roman" w:hAnsi="Arial" w:cs="Arial"/>
          <w:color w:val="333333"/>
          <w:sz w:val="30"/>
          <w:szCs w:val="30"/>
        </w:rPr>
        <w:t>The works will address potable water supply interruptions in the community and will prevent contamination of groundwater from waste water. The works will occur in a developed area</w:t>
      </w:r>
      <w:r w:rsidR="003D467D">
        <w:rPr>
          <w:rFonts w:ascii="Arial" w:eastAsia="Times New Roman" w:hAnsi="Arial" w:cs="Arial"/>
          <w:color w:val="333333"/>
          <w:sz w:val="30"/>
          <w:szCs w:val="30"/>
        </w:rPr>
        <w:t xml:space="preserve"> on reserve</w:t>
      </w:r>
      <w:r w:rsidR="00760221">
        <w:rPr>
          <w:rFonts w:ascii="Arial" w:eastAsia="Times New Roman" w:hAnsi="Arial" w:cs="Arial"/>
          <w:color w:val="333333"/>
          <w:sz w:val="30"/>
          <w:szCs w:val="30"/>
        </w:rPr>
        <w:t xml:space="preserve"> and will include excavation and blasting to remove and replace existing infrastructure. </w:t>
      </w:r>
    </w:p>
    <w:p w14:paraId="46EC620A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color w:val="333333"/>
          <w:sz w:val="30"/>
          <w:szCs w:val="30"/>
        </w:rPr>
        <w:t> </w:t>
      </w:r>
    </w:p>
    <w:p w14:paraId="7579F411" w14:textId="77777777" w:rsidR="009F0190" w:rsidRPr="009F0190" w:rsidRDefault="009F0190" w:rsidP="009F0190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F0190">
        <w:rPr>
          <w:rFonts w:ascii="Arial" w:eastAsia="Times New Roman" w:hAnsi="Arial" w:cs="Arial"/>
          <w:b/>
          <w:bCs/>
          <w:color w:val="333333"/>
          <w:sz w:val="30"/>
          <w:szCs w:val="30"/>
        </w:rPr>
        <w:t>Scope</w:t>
      </w:r>
      <w:r w:rsidRPr="009F0190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14:paraId="247C2AD4" w14:textId="6F18F752" w:rsidR="00D476F0" w:rsidRPr="005842E9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Hiring of contractor for excavation works and installation of equipment</w:t>
      </w:r>
    </w:p>
    <w:p w14:paraId="2BD4FEA0" w14:textId="7E55BA7D" w:rsidR="005842E9" w:rsidRPr="005842E9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lastRenderedPageBreak/>
        <w:t>Install temporary water service lines</w:t>
      </w:r>
    </w:p>
    <w:p w14:paraId="39E0381C" w14:textId="7606BDF7" w:rsidR="005842E9" w:rsidRPr="005842E9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Remove and replace existing faulty infrastructure</w:t>
      </w:r>
    </w:p>
    <w:p w14:paraId="7BB2AD3B" w14:textId="2EDA1D3F" w:rsidR="005842E9" w:rsidRPr="005842E9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Repair 10 septic fields</w:t>
      </w:r>
    </w:p>
    <w:p w14:paraId="00A0C3EC" w14:textId="2628E79A" w:rsidR="005842E9" w:rsidRPr="005842E9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Remove and replace curb stop valves</w:t>
      </w:r>
    </w:p>
    <w:p w14:paraId="0A49B619" w14:textId="4B7A8905" w:rsidR="005842E9" w:rsidRPr="00760221" w:rsidRDefault="005842E9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Replace existing distribution main and service lines</w:t>
      </w:r>
    </w:p>
    <w:p w14:paraId="36E7755D" w14:textId="1E29EEA7" w:rsidR="00760221" w:rsidRPr="005842E9" w:rsidRDefault="00760221" w:rsidP="00584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30"/>
          <w:szCs w:val="30"/>
          <w:lang w:val="en"/>
        </w:rPr>
        <w:t>1.2 km of water main will be replaced and 800m of service lines</w:t>
      </w:r>
    </w:p>
    <w:p w14:paraId="27093237" w14:textId="08F3E1D4" w:rsidR="005842E9" w:rsidRDefault="005842E9" w:rsidP="00760221">
      <w:pPr>
        <w:shd w:val="clear" w:color="auto" w:fill="FFFFFF"/>
        <w:spacing w:before="100" w:beforeAutospacing="1" w:after="100" w:afterAutospacing="1" w:line="240" w:lineRule="auto"/>
        <w:ind w:left="720"/>
      </w:pPr>
    </w:p>
    <w:p w14:paraId="0F2B454E" w14:textId="0A0E7929" w:rsidR="00C649FA" w:rsidRDefault="00C649FA" w:rsidP="00760221">
      <w:pPr>
        <w:shd w:val="clear" w:color="auto" w:fill="FFFFFF"/>
        <w:spacing w:before="100" w:beforeAutospacing="1" w:after="100" w:afterAutospacing="1" w:line="240" w:lineRule="auto"/>
        <w:ind w:left="720"/>
      </w:pPr>
    </w:p>
    <w:sectPr w:rsidR="00C6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A9370" w14:textId="77777777" w:rsidR="00E75E47" w:rsidRDefault="00E75E47" w:rsidP="00760221">
      <w:pPr>
        <w:spacing w:after="0" w:line="240" w:lineRule="auto"/>
      </w:pPr>
      <w:r>
        <w:separator/>
      </w:r>
    </w:p>
  </w:endnote>
  <w:endnote w:type="continuationSeparator" w:id="0">
    <w:p w14:paraId="207871FA" w14:textId="77777777" w:rsidR="00E75E47" w:rsidRDefault="00E75E47" w:rsidP="0076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44006" w14:textId="77777777" w:rsidR="00E75E47" w:rsidRDefault="00E75E47" w:rsidP="00760221">
      <w:pPr>
        <w:spacing w:after="0" w:line="240" w:lineRule="auto"/>
      </w:pPr>
      <w:r>
        <w:separator/>
      </w:r>
    </w:p>
  </w:footnote>
  <w:footnote w:type="continuationSeparator" w:id="0">
    <w:p w14:paraId="0C167045" w14:textId="77777777" w:rsidR="00E75E47" w:rsidRDefault="00E75E47" w:rsidP="0076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F48C3"/>
    <w:multiLevelType w:val="multilevel"/>
    <w:tmpl w:val="57A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90"/>
    <w:rsid w:val="002832D3"/>
    <w:rsid w:val="002C2D04"/>
    <w:rsid w:val="00325DAF"/>
    <w:rsid w:val="003D467D"/>
    <w:rsid w:val="005842E9"/>
    <w:rsid w:val="00673F7D"/>
    <w:rsid w:val="00760221"/>
    <w:rsid w:val="009812BE"/>
    <w:rsid w:val="009F0190"/>
    <w:rsid w:val="00B43D88"/>
    <w:rsid w:val="00B53C28"/>
    <w:rsid w:val="00C03EE2"/>
    <w:rsid w:val="00C649FA"/>
    <w:rsid w:val="00E75E47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34FF8"/>
  <w15:chartTrackingRefBased/>
  <w15:docId w15:val="{33CC3305-090A-47F8-93E8-DD806810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.koh@infc.g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ac-aeic.gc.ca/050/evaluations/Protection?culture=en-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Maybury</dc:creator>
  <cp:keywords/>
  <dc:description/>
  <cp:lastModifiedBy>Luke Maybury</cp:lastModifiedBy>
  <cp:revision>6</cp:revision>
  <dcterms:created xsi:type="dcterms:W3CDTF">2021-08-16T14:59:00Z</dcterms:created>
  <dcterms:modified xsi:type="dcterms:W3CDTF">2021-08-17T17:37:00Z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acc104-dfa0-47ae-bf90-8b8a399431b6_Enabled">
    <vt:lpwstr>true</vt:lpwstr>
  </property>
  <property fmtid="{D5CDD505-2E9C-101B-9397-08002B2CF9AE}" pid="3" name="MSIP_Label_9dacc104-dfa0-47ae-bf90-8b8a399431b6_SetDate">
    <vt:lpwstr>2021-08-16T14:59:21Z</vt:lpwstr>
  </property>
  <property fmtid="{D5CDD505-2E9C-101B-9397-08002B2CF9AE}" pid="4" name="MSIP_Label_9dacc104-dfa0-47ae-bf90-8b8a399431b6_Method">
    <vt:lpwstr>Standard</vt:lpwstr>
  </property>
  <property fmtid="{D5CDD505-2E9C-101B-9397-08002B2CF9AE}" pid="5" name="MSIP_Label_9dacc104-dfa0-47ae-bf90-8b8a399431b6_Name">
    <vt:lpwstr>Unclassified</vt:lpwstr>
  </property>
  <property fmtid="{D5CDD505-2E9C-101B-9397-08002B2CF9AE}" pid="6" name="MSIP_Label_9dacc104-dfa0-47ae-bf90-8b8a399431b6_SiteId">
    <vt:lpwstr>38430cd6-eda5-46f2-886a-f2a305fd49bc</vt:lpwstr>
  </property>
  <property fmtid="{D5CDD505-2E9C-101B-9397-08002B2CF9AE}" pid="7" name="MSIP_Label_9dacc104-dfa0-47ae-bf90-8b8a399431b6_ActionId">
    <vt:lpwstr>4c56f2cd-84a3-405e-8e6b-dfa595a24c15</vt:lpwstr>
  </property>
  <property fmtid="{D5CDD505-2E9C-101B-9397-08002B2CF9AE}" pid="8" name="MSIP_Label_9dacc104-dfa0-47ae-bf90-8b8a399431b6_ContentBits">
    <vt:lpwstr>0</vt:lpwstr>
  </property>
</Properties>
</file>